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27" w:rsidRPr="00ED7741" w:rsidRDefault="00DA4345" w:rsidP="00B607AE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Decadal Changes of Water Properties in the Aral Sea Observed by MODIS-Aqua</w:t>
      </w:r>
    </w:p>
    <w:p w:rsidR="00712127" w:rsidRPr="00ED7741" w:rsidRDefault="00DA4345" w:rsidP="008227F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D7741">
        <w:rPr>
          <w:sz w:val="22"/>
          <w:szCs w:val="22"/>
        </w:rPr>
        <w:t>Wei Shi</w:t>
      </w:r>
      <w:r w:rsidRPr="00ED7741">
        <w:rPr>
          <w:sz w:val="22"/>
          <w:szCs w:val="22"/>
          <w:vertAlign w:val="superscript"/>
        </w:rPr>
        <w:t>1</w:t>
      </w:r>
      <w:proofErr w:type="gramStart"/>
      <w:r w:rsidRPr="00ED7741">
        <w:rPr>
          <w:sz w:val="22"/>
          <w:szCs w:val="22"/>
          <w:vertAlign w:val="superscript"/>
        </w:rPr>
        <w:t>,2</w:t>
      </w:r>
      <w:proofErr w:type="gramEnd"/>
      <w:r w:rsidRPr="00DA43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712127" w:rsidRPr="00ED7741">
        <w:rPr>
          <w:sz w:val="22"/>
          <w:szCs w:val="22"/>
        </w:rPr>
        <w:t>Menghua Wang</w:t>
      </w:r>
      <w:r w:rsidR="00712127" w:rsidRPr="00ED7741">
        <w:rPr>
          <w:sz w:val="22"/>
          <w:szCs w:val="22"/>
          <w:vertAlign w:val="superscript"/>
        </w:rPr>
        <w:t>1</w:t>
      </w:r>
    </w:p>
    <w:p w:rsidR="00131CDD" w:rsidRPr="00ED7741" w:rsidRDefault="00712127" w:rsidP="00B607AE">
      <w:pPr>
        <w:spacing w:before="120"/>
        <w:jc w:val="center"/>
        <w:rPr>
          <w:sz w:val="22"/>
        </w:rPr>
      </w:pPr>
      <w:r w:rsidRPr="00ED7741">
        <w:rPr>
          <w:sz w:val="22"/>
          <w:szCs w:val="22"/>
          <w:vertAlign w:val="superscript"/>
        </w:rPr>
        <w:t>1</w:t>
      </w:r>
      <w:r w:rsidR="00131CDD" w:rsidRPr="00ED7741">
        <w:rPr>
          <w:sz w:val="22"/>
          <w:szCs w:val="22"/>
        </w:rPr>
        <w:t>NOAA/NESDIS</w:t>
      </w:r>
      <w:r w:rsidR="000E4E7B" w:rsidRPr="00ED7741">
        <w:rPr>
          <w:sz w:val="22"/>
        </w:rPr>
        <w:t xml:space="preserve"> Center for Satellite A</w:t>
      </w:r>
      <w:r w:rsidR="00E20B07" w:rsidRPr="00ED7741">
        <w:rPr>
          <w:sz w:val="22"/>
        </w:rPr>
        <w:t>pplications and Research (STAR)</w:t>
      </w:r>
      <w:r w:rsidR="000E4E7B" w:rsidRPr="00ED7741">
        <w:rPr>
          <w:sz w:val="22"/>
        </w:rPr>
        <w:t xml:space="preserve"> </w:t>
      </w:r>
    </w:p>
    <w:p w:rsidR="00712127" w:rsidRPr="00ED7741" w:rsidRDefault="000E4E7B" w:rsidP="00131CDD">
      <w:pPr>
        <w:jc w:val="center"/>
        <w:rPr>
          <w:sz w:val="22"/>
        </w:rPr>
      </w:pPr>
      <w:r w:rsidRPr="00ED7741">
        <w:rPr>
          <w:sz w:val="22"/>
        </w:rPr>
        <w:t xml:space="preserve">E/RA3, RM </w:t>
      </w:r>
      <w:r w:rsidR="00131CDD" w:rsidRPr="00ED7741">
        <w:rPr>
          <w:sz w:val="22"/>
        </w:rPr>
        <w:t>3225</w:t>
      </w:r>
      <w:r w:rsidRPr="00ED7741">
        <w:rPr>
          <w:sz w:val="22"/>
        </w:rPr>
        <w:t>, 5</w:t>
      </w:r>
      <w:r w:rsidR="00131CDD" w:rsidRPr="00ED7741">
        <w:rPr>
          <w:sz w:val="22"/>
        </w:rPr>
        <w:t>83</w:t>
      </w:r>
      <w:r w:rsidRPr="00ED7741">
        <w:rPr>
          <w:sz w:val="22"/>
        </w:rPr>
        <w:t xml:space="preserve">0 </w:t>
      </w:r>
      <w:r w:rsidR="00131CDD" w:rsidRPr="00ED7741">
        <w:rPr>
          <w:sz w:val="22"/>
        </w:rPr>
        <w:t>University Research Ct.</w:t>
      </w:r>
      <w:r w:rsidR="00712127" w:rsidRPr="00ED7741">
        <w:rPr>
          <w:sz w:val="22"/>
          <w:szCs w:val="22"/>
        </w:rPr>
        <w:t xml:space="preserve">, </w:t>
      </w:r>
      <w:r w:rsidR="00131CDD" w:rsidRPr="00ED7741">
        <w:rPr>
          <w:sz w:val="22"/>
          <w:szCs w:val="22"/>
        </w:rPr>
        <w:t>College Park</w:t>
      </w:r>
      <w:r w:rsidR="00712127" w:rsidRPr="00ED7741">
        <w:rPr>
          <w:sz w:val="22"/>
          <w:szCs w:val="22"/>
        </w:rPr>
        <w:t>, MD, USA</w:t>
      </w:r>
    </w:p>
    <w:p w:rsidR="00712127" w:rsidRPr="00ED7741" w:rsidRDefault="00712127" w:rsidP="00B607AE">
      <w:pPr>
        <w:widowControl w:val="0"/>
        <w:autoSpaceDE w:val="0"/>
        <w:autoSpaceDN w:val="0"/>
        <w:adjustRightInd w:val="0"/>
        <w:spacing w:before="120"/>
        <w:ind w:left="360" w:hanging="360"/>
        <w:jc w:val="center"/>
        <w:rPr>
          <w:sz w:val="22"/>
          <w:szCs w:val="22"/>
        </w:rPr>
      </w:pPr>
      <w:r w:rsidRPr="00ED7741">
        <w:rPr>
          <w:sz w:val="22"/>
          <w:szCs w:val="22"/>
          <w:vertAlign w:val="superscript"/>
        </w:rPr>
        <w:t>2</w:t>
      </w:r>
      <w:r w:rsidRPr="00ED7741">
        <w:rPr>
          <w:sz w:val="22"/>
          <w:szCs w:val="22"/>
        </w:rPr>
        <w:t>CIRA, Colorado State University, Fort Collins, CO, USA</w:t>
      </w:r>
    </w:p>
    <w:p w:rsidR="00712127" w:rsidRPr="00ED7741" w:rsidRDefault="00712127" w:rsidP="00B607AE">
      <w:pPr>
        <w:widowControl w:val="0"/>
        <w:autoSpaceDE w:val="0"/>
        <w:autoSpaceDN w:val="0"/>
        <w:adjustRightInd w:val="0"/>
        <w:spacing w:before="120"/>
        <w:ind w:left="360" w:hanging="360"/>
        <w:jc w:val="center"/>
        <w:rPr>
          <w:sz w:val="22"/>
          <w:szCs w:val="22"/>
        </w:rPr>
      </w:pPr>
    </w:p>
    <w:p w:rsidR="00712127" w:rsidRPr="00ED7741" w:rsidRDefault="00712127" w:rsidP="00712127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Sylfaen" w:hAnsi="Sylfaen" w:cs="Sylfaen"/>
          <w:b/>
          <w:bCs/>
          <w:sz w:val="22"/>
          <w:szCs w:val="22"/>
        </w:rPr>
      </w:pPr>
      <w:r w:rsidRPr="00ED7741">
        <w:rPr>
          <w:rFonts w:ascii="Sylfaen" w:hAnsi="Sylfaen" w:cs="Sylfaen"/>
          <w:b/>
          <w:bCs/>
          <w:sz w:val="22"/>
          <w:szCs w:val="22"/>
        </w:rPr>
        <w:t>ABSTRACT</w:t>
      </w:r>
    </w:p>
    <w:p w:rsidR="00712127" w:rsidRPr="00DA4345" w:rsidRDefault="00DA4345" w:rsidP="000871E7">
      <w:pPr>
        <w:pStyle w:val="Manuscript"/>
        <w:spacing w:line="240" w:lineRule="auto"/>
        <w:rPr>
          <w:sz w:val="22"/>
          <w:szCs w:val="22"/>
        </w:rPr>
      </w:pPr>
      <w:r w:rsidRPr="00DA4345">
        <w:rPr>
          <w:sz w:val="22"/>
        </w:rPr>
        <w:t xml:space="preserve">Twelve-year </w:t>
      </w:r>
      <w:r w:rsidR="008D1399">
        <w:rPr>
          <w:sz w:val="22"/>
        </w:rPr>
        <w:t>MODIS-Aqua</w:t>
      </w:r>
      <w:r w:rsidR="008D1399" w:rsidRPr="00DA4345">
        <w:rPr>
          <w:sz w:val="22"/>
        </w:rPr>
        <w:t xml:space="preserve"> </w:t>
      </w:r>
      <w:r w:rsidRPr="00DA4345">
        <w:rPr>
          <w:sz w:val="22"/>
        </w:rPr>
        <w:t xml:space="preserve">observations </w:t>
      </w:r>
      <w:r w:rsidR="008D1399">
        <w:rPr>
          <w:sz w:val="22"/>
        </w:rPr>
        <w:t>(2002–</w:t>
      </w:r>
      <w:r w:rsidRPr="00DA4345">
        <w:rPr>
          <w:sz w:val="22"/>
        </w:rPr>
        <w:t>2013</w:t>
      </w:r>
      <w:r w:rsidR="008D1399">
        <w:rPr>
          <w:sz w:val="22"/>
        </w:rPr>
        <w:t>)</w:t>
      </w:r>
      <w:r w:rsidRPr="00DA4345">
        <w:rPr>
          <w:sz w:val="22"/>
        </w:rPr>
        <w:t xml:space="preserve"> are used to quantitatively assess the water property changes in the Aral Sea. The shortwave infrared (SWIR) atmospheric correction algorithm is required and used to derive normalized water-leaving radiance spectra </w:t>
      </w:r>
      <w:proofErr w:type="spellStart"/>
      <w:proofErr w:type="gramStart"/>
      <w:r w:rsidRPr="00DA4345">
        <w:rPr>
          <w:i/>
          <w:sz w:val="22"/>
        </w:rPr>
        <w:t>nL</w:t>
      </w:r>
      <w:r w:rsidRPr="00DA4345">
        <w:rPr>
          <w:i/>
          <w:sz w:val="22"/>
          <w:vertAlign w:val="subscript"/>
        </w:rPr>
        <w:t>w</w:t>
      </w:r>
      <w:proofErr w:type="spellEnd"/>
      <w:r w:rsidRPr="00DA4345">
        <w:rPr>
          <w:sz w:val="22"/>
        </w:rPr>
        <w:t>(</w:t>
      </w:r>
      <w:proofErr w:type="gramEnd"/>
      <w:r w:rsidRPr="00DA4345">
        <w:rPr>
          <w:rFonts w:ascii="Symbol" w:hAnsi="Symbol"/>
          <w:i/>
          <w:sz w:val="22"/>
        </w:rPr>
        <w:t></w:t>
      </w:r>
      <w:r w:rsidRPr="00DA4345">
        <w:rPr>
          <w:sz w:val="22"/>
        </w:rPr>
        <w:t xml:space="preserve">) in the </w:t>
      </w:r>
      <w:r w:rsidR="008D1399">
        <w:rPr>
          <w:sz w:val="22"/>
        </w:rPr>
        <w:t>region</w:t>
      </w:r>
      <w:r w:rsidRPr="00DA4345">
        <w:rPr>
          <w:sz w:val="22"/>
        </w:rPr>
        <w:t xml:space="preserve">. A simple bottom effect index algorithm is developed to identify and discriminate the pixels with the benthic contributions using satellite-derived </w:t>
      </w:r>
      <w:proofErr w:type="spellStart"/>
      <w:proofErr w:type="gramStart"/>
      <w:r w:rsidRPr="00DA4345">
        <w:rPr>
          <w:i/>
          <w:sz w:val="22"/>
        </w:rPr>
        <w:t>nL</w:t>
      </w:r>
      <w:r w:rsidRPr="00DA4345">
        <w:rPr>
          <w:i/>
          <w:sz w:val="22"/>
          <w:vertAlign w:val="subscript"/>
        </w:rPr>
        <w:t>w</w:t>
      </w:r>
      <w:proofErr w:type="spellEnd"/>
      <w:r w:rsidRPr="00DA4345">
        <w:rPr>
          <w:sz w:val="22"/>
        </w:rPr>
        <w:t>(</w:t>
      </w:r>
      <w:proofErr w:type="gramEnd"/>
      <w:r w:rsidRPr="00DA4345">
        <w:rPr>
          <w:rFonts w:ascii="Symbol" w:hAnsi="Symbol"/>
          <w:i/>
          <w:sz w:val="22"/>
        </w:rPr>
        <w:t></w:t>
      </w:r>
      <w:r w:rsidRPr="00DA4345">
        <w:rPr>
          <w:sz w:val="22"/>
        </w:rPr>
        <w:t xml:space="preserve">) in the red and near-infrared (NIR) wavelengths. We used radiance ratio </w:t>
      </w:r>
      <w:proofErr w:type="spellStart"/>
      <w:proofErr w:type="gramStart"/>
      <w:r w:rsidRPr="00DA4345">
        <w:rPr>
          <w:i/>
          <w:sz w:val="22"/>
        </w:rPr>
        <w:t>nL</w:t>
      </w:r>
      <w:r w:rsidRPr="00DA4345">
        <w:rPr>
          <w:i/>
          <w:sz w:val="22"/>
          <w:vertAlign w:val="subscript"/>
        </w:rPr>
        <w:t>w</w:t>
      </w:r>
      <w:proofErr w:type="spellEnd"/>
      <w:r w:rsidRPr="00DA4345">
        <w:rPr>
          <w:sz w:val="22"/>
        </w:rPr>
        <w:t>(</w:t>
      </w:r>
      <w:proofErr w:type="gramEnd"/>
      <w:r w:rsidRPr="00DA4345">
        <w:rPr>
          <w:sz w:val="22"/>
        </w:rPr>
        <w:t>555)/</w:t>
      </w:r>
      <w:proofErr w:type="spellStart"/>
      <w:r w:rsidRPr="00DA4345">
        <w:rPr>
          <w:i/>
          <w:sz w:val="22"/>
        </w:rPr>
        <w:t>nL</w:t>
      </w:r>
      <w:r w:rsidRPr="00DA4345">
        <w:rPr>
          <w:i/>
          <w:sz w:val="22"/>
          <w:vertAlign w:val="subscript"/>
        </w:rPr>
        <w:t>w</w:t>
      </w:r>
      <w:proofErr w:type="spellEnd"/>
      <w:r w:rsidRPr="00DA4345">
        <w:rPr>
          <w:sz w:val="22"/>
        </w:rPr>
        <w:t xml:space="preserve">(443) as a surrogate to characterize the spatial and temporal variations of chlorophyll-a (Chl-a) in the Aral Sea. Both seasonal variability and significant interannual changes were observed when the Aral Sea desiccated between 2002 and 2013. All three regions of the Aral Sea show increased </w:t>
      </w:r>
      <w:proofErr w:type="spellStart"/>
      <w:proofErr w:type="gramStart"/>
      <w:r w:rsidRPr="00DA4345">
        <w:rPr>
          <w:i/>
          <w:sz w:val="22"/>
        </w:rPr>
        <w:t>nL</w:t>
      </w:r>
      <w:r w:rsidRPr="00DA4345">
        <w:rPr>
          <w:i/>
          <w:sz w:val="22"/>
          <w:vertAlign w:val="subscript"/>
        </w:rPr>
        <w:t>w</w:t>
      </w:r>
      <w:proofErr w:type="spellEnd"/>
      <w:r w:rsidRPr="00DA4345">
        <w:rPr>
          <w:sz w:val="22"/>
        </w:rPr>
        <w:t>(</w:t>
      </w:r>
      <w:proofErr w:type="gramEnd"/>
      <w:r w:rsidRPr="00DA4345">
        <w:rPr>
          <w:sz w:val="22"/>
        </w:rPr>
        <w:t>555)/</w:t>
      </w:r>
      <w:proofErr w:type="spellStart"/>
      <w:r w:rsidRPr="00DA4345">
        <w:rPr>
          <w:i/>
          <w:sz w:val="22"/>
        </w:rPr>
        <w:t>nL</w:t>
      </w:r>
      <w:r w:rsidRPr="00DA4345">
        <w:rPr>
          <w:i/>
          <w:sz w:val="22"/>
          <w:vertAlign w:val="subscript"/>
        </w:rPr>
        <w:t>w</w:t>
      </w:r>
      <w:proofErr w:type="spellEnd"/>
      <w:r w:rsidRPr="00DA4345">
        <w:rPr>
          <w:sz w:val="22"/>
        </w:rPr>
        <w:t>(443) ratio and the diffuse attenuation coefficient at the wavelength of 490 nm (</w:t>
      </w:r>
      <w:proofErr w:type="spellStart"/>
      <w:r w:rsidRPr="00DA4345">
        <w:rPr>
          <w:i/>
          <w:color w:val="272525"/>
          <w:sz w:val="22"/>
        </w:rPr>
        <w:t>K</w:t>
      </w:r>
      <w:r w:rsidRPr="00DA4345">
        <w:rPr>
          <w:i/>
          <w:color w:val="272525"/>
          <w:sz w:val="22"/>
          <w:vertAlign w:val="subscript"/>
        </w:rPr>
        <w:t>d</w:t>
      </w:r>
      <w:proofErr w:type="spellEnd"/>
      <w:r w:rsidRPr="00DA4345">
        <w:rPr>
          <w:color w:val="272525"/>
          <w:sz w:val="22"/>
        </w:rPr>
        <w:t xml:space="preserve">(490)) during the fall season. </w:t>
      </w:r>
      <w:r w:rsidRPr="00DA4345">
        <w:rPr>
          <w:sz w:val="22"/>
        </w:rPr>
        <w:t xml:space="preserve">Of the three regions, the North Aral Sea has had the least interannual variability, while South-East (SE) Aral Sea experienced drastic changes. Waters in the SE Aral Sea are the most turbid with significantly higher </w:t>
      </w:r>
      <w:proofErr w:type="spellStart"/>
      <w:proofErr w:type="gramStart"/>
      <w:r w:rsidRPr="00DA4345">
        <w:rPr>
          <w:i/>
          <w:sz w:val="22"/>
        </w:rPr>
        <w:t>K</w:t>
      </w:r>
      <w:r w:rsidRPr="00DA4345">
        <w:rPr>
          <w:i/>
          <w:sz w:val="22"/>
          <w:vertAlign w:val="subscript"/>
        </w:rPr>
        <w:t>d</w:t>
      </w:r>
      <w:proofErr w:type="spellEnd"/>
      <w:r w:rsidRPr="00DA4345">
        <w:rPr>
          <w:sz w:val="22"/>
        </w:rPr>
        <w:t>(</w:t>
      </w:r>
      <w:proofErr w:type="gramEnd"/>
      <w:r w:rsidRPr="00DA4345">
        <w:rPr>
          <w:sz w:val="22"/>
        </w:rPr>
        <w:t xml:space="preserve">490) than those in the other two sub-regions. </w:t>
      </w:r>
      <w:proofErr w:type="spellStart"/>
      <w:proofErr w:type="gramStart"/>
      <w:r w:rsidRPr="00DA4345">
        <w:rPr>
          <w:i/>
          <w:sz w:val="22"/>
        </w:rPr>
        <w:t>K</w:t>
      </w:r>
      <w:r w:rsidRPr="00DA4345">
        <w:rPr>
          <w:i/>
          <w:sz w:val="22"/>
          <w:vertAlign w:val="subscript"/>
        </w:rPr>
        <w:t>d</w:t>
      </w:r>
      <w:proofErr w:type="spellEnd"/>
      <w:r w:rsidRPr="00DA4345">
        <w:rPr>
          <w:sz w:val="22"/>
        </w:rPr>
        <w:t>(</w:t>
      </w:r>
      <w:proofErr w:type="gramEnd"/>
      <w:r w:rsidRPr="00DA4345">
        <w:rPr>
          <w:sz w:val="22"/>
        </w:rPr>
        <w:t>490) gradually increased from ~2 m</w:t>
      </w:r>
      <w:r w:rsidRPr="00DA4345">
        <w:rPr>
          <w:sz w:val="22"/>
          <w:vertAlign w:val="superscript"/>
        </w:rPr>
        <w:t>–1</w:t>
      </w:r>
      <w:r w:rsidRPr="00DA4345">
        <w:rPr>
          <w:sz w:val="22"/>
        </w:rPr>
        <w:t xml:space="preserve"> in 2002 to ~3.5 m</w:t>
      </w:r>
      <w:r w:rsidRPr="00DA4345">
        <w:rPr>
          <w:sz w:val="22"/>
          <w:vertAlign w:val="superscript"/>
        </w:rPr>
        <w:t>–1</w:t>
      </w:r>
      <w:r w:rsidRPr="00DA4345">
        <w:rPr>
          <w:sz w:val="22"/>
        </w:rPr>
        <w:t xml:space="preserve"> after 2008 in the SE Aral Sea. In comparison, both radiance ratio </w:t>
      </w:r>
      <w:proofErr w:type="spellStart"/>
      <w:proofErr w:type="gramStart"/>
      <w:r w:rsidRPr="00DA4345">
        <w:rPr>
          <w:i/>
          <w:sz w:val="22"/>
        </w:rPr>
        <w:t>nL</w:t>
      </w:r>
      <w:r w:rsidRPr="00DA4345">
        <w:rPr>
          <w:i/>
          <w:sz w:val="22"/>
          <w:vertAlign w:val="subscript"/>
        </w:rPr>
        <w:t>w</w:t>
      </w:r>
      <w:proofErr w:type="spellEnd"/>
      <w:r w:rsidRPr="00DA4345">
        <w:rPr>
          <w:sz w:val="22"/>
        </w:rPr>
        <w:t>(</w:t>
      </w:r>
      <w:proofErr w:type="gramEnd"/>
      <w:r w:rsidRPr="00DA4345">
        <w:rPr>
          <w:sz w:val="22"/>
        </w:rPr>
        <w:t>555)/</w:t>
      </w:r>
      <w:proofErr w:type="spellStart"/>
      <w:r w:rsidRPr="00DA4345">
        <w:rPr>
          <w:i/>
          <w:sz w:val="22"/>
        </w:rPr>
        <w:t>nL</w:t>
      </w:r>
      <w:r w:rsidRPr="00DA4345">
        <w:rPr>
          <w:i/>
          <w:sz w:val="22"/>
          <w:vertAlign w:val="subscript"/>
        </w:rPr>
        <w:t>w</w:t>
      </w:r>
      <w:proofErr w:type="spellEnd"/>
      <w:r w:rsidRPr="00DA4345">
        <w:rPr>
          <w:sz w:val="22"/>
        </w:rPr>
        <w:t xml:space="preserve">(443) and </w:t>
      </w:r>
      <w:proofErr w:type="spellStart"/>
      <w:r w:rsidRPr="00DA4345">
        <w:rPr>
          <w:i/>
          <w:sz w:val="22"/>
        </w:rPr>
        <w:t>K</w:t>
      </w:r>
      <w:r w:rsidRPr="00DA4345">
        <w:rPr>
          <w:i/>
          <w:sz w:val="22"/>
          <w:vertAlign w:val="subscript"/>
        </w:rPr>
        <w:t>d</w:t>
      </w:r>
      <w:proofErr w:type="spellEnd"/>
      <w:r w:rsidRPr="00DA4345">
        <w:rPr>
          <w:sz w:val="22"/>
        </w:rPr>
        <w:t xml:space="preserve">(490) were relatively stable for the North Aral Sea. In the South-West (SW) Aral Sea, however, </w:t>
      </w:r>
      <w:proofErr w:type="spellStart"/>
      <w:proofErr w:type="gramStart"/>
      <w:r w:rsidRPr="00DA4345">
        <w:rPr>
          <w:i/>
          <w:sz w:val="22"/>
        </w:rPr>
        <w:t>nL</w:t>
      </w:r>
      <w:r w:rsidRPr="00DA4345">
        <w:rPr>
          <w:i/>
          <w:sz w:val="22"/>
          <w:vertAlign w:val="subscript"/>
        </w:rPr>
        <w:t>w</w:t>
      </w:r>
      <w:proofErr w:type="spellEnd"/>
      <w:r w:rsidRPr="00DA4345">
        <w:rPr>
          <w:sz w:val="22"/>
        </w:rPr>
        <w:t>(</w:t>
      </w:r>
      <w:proofErr w:type="gramEnd"/>
      <w:r w:rsidRPr="00DA4345">
        <w:rPr>
          <w:sz w:val="22"/>
        </w:rPr>
        <w:t>555)/</w:t>
      </w:r>
      <w:proofErr w:type="spellStart"/>
      <w:r w:rsidRPr="00DA4345">
        <w:rPr>
          <w:i/>
          <w:sz w:val="22"/>
        </w:rPr>
        <w:t>nL</w:t>
      </w:r>
      <w:r w:rsidRPr="00DA4345">
        <w:rPr>
          <w:i/>
          <w:sz w:val="22"/>
          <w:vertAlign w:val="subscript"/>
        </w:rPr>
        <w:t>w</w:t>
      </w:r>
      <w:proofErr w:type="spellEnd"/>
      <w:r w:rsidRPr="00DA4345">
        <w:rPr>
          <w:sz w:val="22"/>
        </w:rPr>
        <w:t>(443) values reached peaks in the fall of 2007 and 2010. A possible link between the Aral Sea water property change and the regional climate variation is also discussed.</w:t>
      </w:r>
      <w:r w:rsidR="00712127" w:rsidRPr="00DA4345">
        <w:rPr>
          <w:sz w:val="22"/>
          <w:szCs w:val="22"/>
        </w:rPr>
        <w:t xml:space="preserve"> </w:t>
      </w:r>
    </w:p>
    <w:p w:rsidR="00712127" w:rsidRPr="00ED7741" w:rsidRDefault="00712127" w:rsidP="000E4E7B">
      <w:pPr>
        <w:pStyle w:val="Manuscript"/>
        <w:spacing w:line="240" w:lineRule="auto"/>
        <w:ind w:firstLine="0"/>
        <w:rPr>
          <w:sz w:val="22"/>
        </w:rPr>
      </w:pPr>
    </w:p>
    <w:sectPr w:rsidR="00712127" w:rsidRPr="00ED7741" w:rsidSect="00A434D1">
      <w:headerReference w:type="default" r:id="rId6"/>
      <w:footnotePr>
        <w:numStart w:val="2"/>
      </w:footnotePr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24" w:rsidRDefault="00A93324">
      <w:r>
        <w:separator/>
      </w:r>
    </w:p>
  </w:endnote>
  <w:endnote w:type="continuationSeparator" w:id="0">
    <w:p w:rsidR="00A93324" w:rsidRDefault="00A93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24" w:rsidRDefault="00A93324">
      <w:r>
        <w:separator/>
      </w:r>
    </w:p>
  </w:footnote>
  <w:footnote w:type="continuationSeparator" w:id="0">
    <w:p w:rsidR="00A93324" w:rsidRDefault="00A93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F3" w:rsidRPr="00ED7741" w:rsidRDefault="008227F3" w:rsidP="000C6706">
    <w:pPr>
      <w:jc w:val="center"/>
      <w:rPr>
        <w:color w:val="0000FF"/>
        <w:sz w:val="22"/>
      </w:rPr>
    </w:pPr>
    <w:r w:rsidRPr="00ED7741">
      <w:rPr>
        <w:i/>
        <w:sz w:val="22"/>
      </w:rPr>
      <w:t xml:space="preserve">Abstract to be presented at </w:t>
    </w:r>
    <w:r w:rsidR="00913F21" w:rsidRPr="00ED7741">
      <w:rPr>
        <w:i/>
        <w:sz w:val="22"/>
      </w:rPr>
      <w:t xml:space="preserve">International Ocean </w:t>
    </w:r>
    <w:proofErr w:type="spellStart"/>
    <w:r w:rsidR="00913F21" w:rsidRPr="00ED7741">
      <w:rPr>
        <w:i/>
        <w:sz w:val="22"/>
      </w:rPr>
      <w:t>Colour</w:t>
    </w:r>
    <w:proofErr w:type="spellEnd"/>
    <w:r w:rsidR="00913F21" w:rsidRPr="00ED7741">
      <w:rPr>
        <w:i/>
        <w:sz w:val="22"/>
      </w:rPr>
      <w:t xml:space="preserve"> Science Meeting</w:t>
    </w:r>
    <w:r w:rsidRPr="00ED7741">
      <w:rPr>
        <w:i/>
        <w:sz w:val="22"/>
      </w:rPr>
      <w:t>,</w:t>
    </w:r>
    <w:r w:rsidRPr="00ED7741">
      <w:rPr>
        <w:sz w:val="22"/>
      </w:rPr>
      <w:t xml:space="preserve"> </w:t>
    </w:r>
    <w:r w:rsidR="00913F21" w:rsidRPr="00ED7741">
      <w:rPr>
        <w:sz w:val="22"/>
      </w:rPr>
      <w:t>San Francisco</w:t>
    </w:r>
    <w:r w:rsidRPr="00ED7741">
      <w:rPr>
        <w:sz w:val="22"/>
      </w:rPr>
      <w:t xml:space="preserve">, </w:t>
    </w:r>
    <w:r w:rsidR="00913F21" w:rsidRPr="00ED7741">
      <w:rPr>
        <w:sz w:val="22"/>
      </w:rPr>
      <w:t>California, June</w:t>
    </w:r>
    <w:r w:rsidRPr="00ED7741">
      <w:rPr>
        <w:sz w:val="22"/>
      </w:rPr>
      <w:t xml:space="preserve"> </w:t>
    </w:r>
    <w:r w:rsidR="00913F21" w:rsidRPr="00ED7741">
      <w:rPr>
        <w:sz w:val="22"/>
      </w:rPr>
      <w:t>15</w:t>
    </w:r>
    <w:r w:rsidRPr="00ED7741">
      <w:rPr>
        <w:sz w:val="22"/>
      </w:rPr>
      <w:t>-</w:t>
    </w:r>
    <w:r w:rsidR="00913F21" w:rsidRPr="00ED7741">
      <w:rPr>
        <w:sz w:val="22"/>
      </w:rPr>
      <w:t>18</w:t>
    </w:r>
    <w:r w:rsidRPr="00ED7741">
      <w:rPr>
        <w:sz w:val="22"/>
      </w:rPr>
      <w:t>, 201</w:t>
    </w:r>
    <w:r w:rsidR="00913F21" w:rsidRPr="00ED7741">
      <w:rPr>
        <w:sz w:val="22"/>
      </w:rPr>
      <w:t>5</w:t>
    </w:r>
  </w:p>
  <w:p w:rsidR="008227F3" w:rsidRDefault="008227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010F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numStart w:val="2"/>
    <w:footnote w:id="-1"/>
    <w:footnote w:id="0"/>
  </w:footnotePr>
  <w:endnotePr>
    <w:endnote w:id="-1"/>
    <w:endnote w:id="0"/>
  </w:endnotePr>
  <w:compat/>
  <w:rsids>
    <w:rsidRoot w:val="008C173D"/>
    <w:rsid w:val="00074893"/>
    <w:rsid w:val="000871E7"/>
    <w:rsid w:val="000C6706"/>
    <w:rsid w:val="000E4E7B"/>
    <w:rsid w:val="00131CDD"/>
    <w:rsid w:val="00183DAF"/>
    <w:rsid w:val="00287BCF"/>
    <w:rsid w:val="002D5743"/>
    <w:rsid w:val="003B0B80"/>
    <w:rsid w:val="003C7B57"/>
    <w:rsid w:val="003E634B"/>
    <w:rsid w:val="004A0726"/>
    <w:rsid w:val="004F27EE"/>
    <w:rsid w:val="00550F04"/>
    <w:rsid w:val="00680D4D"/>
    <w:rsid w:val="006B0C44"/>
    <w:rsid w:val="00712127"/>
    <w:rsid w:val="00720F38"/>
    <w:rsid w:val="00753F33"/>
    <w:rsid w:val="00763188"/>
    <w:rsid w:val="00785F1B"/>
    <w:rsid w:val="007F3E5E"/>
    <w:rsid w:val="008227F3"/>
    <w:rsid w:val="00826D6C"/>
    <w:rsid w:val="008C173D"/>
    <w:rsid w:val="008D1399"/>
    <w:rsid w:val="00913F21"/>
    <w:rsid w:val="009D6076"/>
    <w:rsid w:val="00A434D1"/>
    <w:rsid w:val="00A93324"/>
    <w:rsid w:val="00AB58EE"/>
    <w:rsid w:val="00B607AE"/>
    <w:rsid w:val="00C32640"/>
    <w:rsid w:val="00D62F40"/>
    <w:rsid w:val="00DA4345"/>
    <w:rsid w:val="00E20B07"/>
    <w:rsid w:val="00ED7741"/>
    <w:rsid w:val="00EF6560"/>
    <w:rsid w:val="00F8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D1"/>
    <w:rPr>
      <w:sz w:val="24"/>
      <w:szCs w:val="24"/>
    </w:rPr>
  </w:style>
  <w:style w:type="paragraph" w:styleId="Heading3">
    <w:name w:val="heading 3"/>
    <w:basedOn w:val="Normal"/>
    <w:next w:val="Normal"/>
    <w:qFormat/>
    <w:rsid w:val="005C1BD5"/>
    <w:pPr>
      <w:keepNext/>
      <w:tabs>
        <w:tab w:val="left" w:pos="450"/>
        <w:tab w:val="left" w:pos="6480"/>
      </w:tabs>
      <w:spacing w:before="60" w:after="60" w:line="320" w:lineRule="exact"/>
      <w:jc w:val="center"/>
      <w:outlineLvl w:val="2"/>
    </w:pPr>
    <w:rPr>
      <w:rFonts w:ascii="Palatino" w:hAnsi="Palatino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F13A3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A434D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F13A3"/>
    <w:rPr>
      <w:rFonts w:cs="Times New Roman"/>
      <w:vertAlign w:val="superscript"/>
    </w:rPr>
  </w:style>
  <w:style w:type="paragraph" w:customStyle="1" w:styleId="Manuscript">
    <w:name w:val="Manuscript"/>
    <w:basedOn w:val="Normal"/>
    <w:rsid w:val="00FA5A93"/>
    <w:pPr>
      <w:tabs>
        <w:tab w:val="left" w:pos="6480"/>
      </w:tabs>
      <w:spacing w:line="480" w:lineRule="exact"/>
      <w:ind w:firstLine="450"/>
      <w:jc w:val="both"/>
    </w:pPr>
  </w:style>
  <w:style w:type="paragraph" w:styleId="Header">
    <w:name w:val="header"/>
    <w:basedOn w:val="Normal"/>
    <w:semiHidden/>
    <w:rsid w:val="001E3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1E3BB1"/>
    <w:rPr>
      <w:rFonts w:cs="Times New Roman"/>
      <w:sz w:val="24"/>
      <w:szCs w:val="24"/>
    </w:rPr>
  </w:style>
  <w:style w:type="paragraph" w:styleId="Footer">
    <w:name w:val="footer"/>
    <w:basedOn w:val="Normal"/>
    <w:semiHidden/>
    <w:rsid w:val="001E3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1E3BB1"/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sid w:val="001E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1E3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Satellite Ocean Primary Production in the Chesapeake Bay Region Using the SWIR Atmospheric Correction Algorithm </vt:lpstr>
      <vt:lpstr>        October 8-12, 2012, Glasgow, Scotland</vt:lpstr>
    </vt:vector>
  </TitlesOfParts>
  <Company>NOAA / NESDIS / STAR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 Ocean Primary Production in the Chesapeake Bay Region Using the SWIR Atmospheric Correction Algorithm</dc:title>
  <dc:creator>Menghua Wang</dc:creator>
  <cp:lastModifiedBy>wshi</cp:lastModifiedBy>
  <cp:revision>2</cp:revision>
  <dcterms:created xsi:type="dcterms:W3CDTF">2015-05-13T14:45:00Z</dcterms:created>
  <dcterms:modified xsi:type="dcterms:W3CDTF">2015-05-13T14:45:00Z</dcterms:modified>
</cp:coreProperties>
</file>