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56" w:rsidRPr="00C467CF" w:rsidRDefault="000B4456" w:rsidP="000B4456">
      <w:pPr>
        <w:spacing w:after="0" w:line="240" w:lineRule="auto"/>
        <w:rPr>
          <w:rFonts w:ascii="Times New Roman" w:hAnsi="Times New Roman"/>
          <w:b/>
          <w:caps/>
        </w:rPr>
      </w:pPr>
      <w:r w:rsidRPr="00C467CF">
        <w:rPr>
          <w:rFonts w:ascii="Times New Roman" w:hAnsi="Times New Roman"/>
          <w:b/>
          <w:caps/>
        </w:rPr>
        <w:t xml:space="preserve">Recent decadal trends in global phytoplankton composition </w:t>
      </w:r>
    </w:p>
    <w:p w:rsidR="000B4456" w:rsidRPr="00C467CF" w:rsidRDefault="000B4456" w:rsidP="000B4456">
      <w:pPr>
        <w:spacing w:after="0" w:line="240" w:lineRule="auto"/>
        <w:rPr>
          <w:rFonts w:ascii="Times New Roman" w:hAnsi="Times New Roman"/>
        </w:rPr>
      </w:pPr>
    </w:p>
    <w:p w:rsidR="000B4456" w:rsidRPr="00C467CF" w:rsidRDefault="000B4456" w:rsidP="00C467CF">
      <w:pPr>
        <w:pStyle w:val="Mauthor"/>
      </w:pPr>
      <w:r w:rsidRPr="00C467CF">
        <w:rPr>
          <w:u w:val="single"/>
        </w:rPr>
        <w:t>Cecile S. Rousseaux</w:t>
      </w:r>
      <w:r w:rsidRPr="00C467CF">
        <w:t xml:space="preserve"> </w:t>
      </w:r>
      <w:r w:rsidRPr="00C467CF">
        <w:rPr>
          <w:vertAlign w:val="superscript"/>
        </w:rPr>
        <w:t>1,2</w:t>
      </w:r>
      <w:r w:rsidRPr="00C467CF">
        <w:t xml:space="preserve"> and Watson W. Gregg </w:t>
      </w:r>
      <w:r w:rsidRPr="00C467CF">
        <w:rPr>
          <w:vertAlign w:val="superscript"/>
        </w:rPr>
        <w:t xml:space="preserve">1 </w:t>
      </w:r>
    </w:p>
    <w:p w:rsidR="000B4456" w:rsidRPr="00C467CF" w:rsidRDefault="000B4456" w:rsidP="000B4456">
      <w:pPr>
        <w:pStyle w:val="Maddress"/>
        <w:spacing w:before="0" w:line="240" w:lineRule="auto"/>
        <w:ind w:left="284" w:hanging="284"/>
        <w:rPr>
          <w:color w:val="auto"/>
          <w:sz w:val="22"/>
          <w:szCs w:val="22"/>
        </w:rPr>
      </w:pPr>
      <w:r w:rsidRPr="00C467CF">
        <w:rPr>
          <w:color w:val="auto"/>
          <w:sz w:val="22"/>
          <w:szCs w:val="22"/>
          <w:vertAlign w:val="superscript"/>
        </w:rPr>
        <w:t>1</w:t>
      </w:r>
      <w:r w:rsidRPr="00C467CF">
        <w:rPr>
          <w:color w:val="auto"/>
          <w:sz w:val="22"/>
          <w:szCs w:val="22"/>
        </w:rPr>
        <w:tab/>
        <w:t xml:space="preserve">Global Modeling and Assimilation Office, NASA Goddard Space Flight Center, Greenbelt, Maryland, USA </w:t>
      </w:r>
    </w:p>
    <w:p w:rsidR="000B4456" w:rsidRPr="00C467CF" w:rsidRDefault="000B4456" w:rsidP="000B4456">
      <w:pPr>
        <w:pStyle w:val="Maddress"/>
        <w:spacing w:before="0" w:line="240" w:lineRule="auto"/>
        <w:ind w:left="284" w:hanging="284"/>
        <w:rPr>
          <w:sz w:val="22"/>
          <w:szCs w:val="22"/>
        </w:rPr>
      </w:pPr>
      <w:r w:rsidRPr="00C467CF">
        <w:rPr>
          <w:sz w:val="22"/>
          <w:szCs w:val="22"/>
          <w:vertAlign w:val="superscript"/>
        </w:rPr>
        <w:t>2</w:t>
      </w:r>
      <w:r w:rsidRPr="00C467CF">
        <w:rPr>
          <w:sz w:val="22"/>
          <w:szCs w:val="22"/>
          <w:vertAlign w:val="superscript"/>
        </w:rPr>
        <w:tab/>
      </w:r>
      <w:r w:rsidRPr="00C467CF">
        <w:rPr>
          <w:sz w:val="22"/>
          <w:szCs w:val="22"/>
        </w:rPr>
        <w:t>Universities Space Research Association, Columbia, Maryland, USA</w:t>
      </w:r>
    </w:p>
    <w:p w:rsidR="000B4456" w:rsidRPr="00C467CF" w:rsidRDefault="000B4456" w:rsidP="000B4456">
      <w:pPr>
        <w:pStyle w:val="Maddress"/>
        <w:spacing w:before="0" w:line="240" w:lineRule="auto"/>
        <w:ind w:left="284" w:hanging="284"/>
        <w:rPr>
          <w:sz w:val="22"/>
          <w:szCs w:val="22"/>
        </w:rPr>
      </w:pPr>
    </w:p>
    <w:p w:rsidR="000B4456" w:rsidRPr="00C467CF" w:rsidRDefault="000B4456" w:rsidP="000B4456">
      <w:pPr>
        <w:pStyle w:val="Maddress"/>
        <w:spacing w:before="0" w:line="240" w:lineRule="auto"/>
        <w:ind w:left="284" w:hanging="284"/>
        <w:rPr>
          <w:sz w:val="22"/>
          <w:szCs w:val="22"/>
        </w:rPr>
      </w:pPr>
    </w:p>
    <w:p w:rsidR="000B4456" w:rsidRPr="00C467CF" w:rsidRDefault="000B4456" w:rsidP="000B4456">
      <w:pPr>
        <w:spacing w:after="0" w:line="240" w:lineRule="auto"/>
        <w:rPr>
          <w:rFonts w:ascii="Times New Roman" w:hAnsi="Times New Roman"/>
        </w:rPr>
      </w:pPr>
      <w:r w:rsidRPr="00C467CF">
        <w:rPr>
          <w:rFonts w:ascii="Times New Roman" w:hAnsi="Times New Roman"/>
        </w:rPr>
        <w:t>Abstract</w:t>
      </w:r>
    </w:p>
    <w:p w:rsidR="00296005" w:rsidRDefault="000B4456" w:rsidP="000B4456">
      <w:pPr>
        <w:spacing w:after="0" w:line="240" w:lineRule="auto"/>
        <w:rPr>
          <w:rFonts w:ascii="Times New Roman" w:hAnsi="Times New Roman"/>
        </w:rPr>
      </w:pPr>
      <w:r w:rsidRPr="00C467CF">
        <w:rPr>
          <w:rFonts w:ascii="Times New Roman" w:hAnsi="Times New Roman"/>
        </w:rPr>
        <w:t>Identifying major trends in biogeochemical composition of the oceans is essential to improve our understanding of biological responses to climate forcing. Using the NASA Ocean Biogeochemical Model with ocean color data assimilation, we assessed the trends in phytoplankton composition (diatoms, cyanobacteria, coccolithophores and chlorophytes) at a global scale for 1998-2012.  We related these trends to physical conditions (surface temperature, surface photosynthetically available radiation [PAR] and mixed layer depth [MLD]) and nutrients (iron, silicate and nitrate).  We found a significant global decline in diatoms (-1.22% y</w:t>
      </w:r>
      <w:r w:rsidRPr="00C467CF">
        <w:rPr>
          <w:rFonts w:ascii="Times New Roman" w:hAnsi="Times New Roman"/>
          <w:vertAlign w:val="superscript"/>
        </w:rPr>
        <w:t>-1</w:t>
      </w:r>
      <w:r w:rsidRPr="00C467CF">
        <w:rPr>
          <w:rFonts w:ascii="Times New Roman" w:hAnsi="Times New Roman"/>
        </w:rPr>
        <w:t>, P&lt;0.05)</w:t>
      </w:r>
      <w:r w:rsidR="00C467CF">
        <w:rPr>
          <w:rFonts w:ascii="Times New Roman" w:hAnsi="Times New Roman"/>
        </w:rPr>
        <w:t xml:space="preserve"> that</w:t>
      </w:r>
      <w:r w:rsidRPr="00C467CF">
        <w:rPr>
          <w:rFonts w:ascii="Times New Roman" w:hAnsi="Times New Roman"/>
        </w:rPr>
        <w:t xml:space="preserve"> was associated wi</w:t>
      </w:r>
      <w:r w:rsidR="00C467CF">
        <w:rPr>
          <w:rFonts w:ascii="Times New Roman" w:hAnsi="Times New Roman"/>
        </w:rPr>
        <w:t xml:space="preserve">th a significant </w:t>
      </w:r>
      <w:r w:rsidRPr="00C467CF">
        <w:rPr>
          <w:rFonts w:ascii="Times New Roman" w:hAnsi="Times New Roman"/>
        </w:rPr>
        <w:t>shallowing of the MLD (-0.20% y</w:t>
      </w:r>
      <w:r w:rsidRPr="00C467CF">
        <w:rPr>
          <w:rFonts w:ascii="Times New Roman" w:hAnsi="Times New Roman"/>
          <w:vertAlign w:val="superscript"/>
        </w:rPr>
        <w:t>-1</w:t>
      </w:r>
      <w:r w:rsidRPr="00C467CF">
        <w:rPr>
          <w:rFonts w:ascii="Times New Roman" w:hAnsi="Times New Roman"/>
        </w:rPr>
        <w:t>), a significant increase in PAR (0.09% y</w:t>
      </w:r>
      <w:r w:rsidRPr="00C467CF">
        <w:rPr>
          <w:rFonts w:ascii="Times New Roman" w:hAnsi="Times New Roman"/>
          <w:vertAlign w:val="superscript"/>
        </w:rPr>
        <w:t>-1</w:t>
      </w:r>
      <w:r w:rsidRPr="00C467CF">
        <w:rPr>
          <w:rFonts w:ascii="Times New Roman" w:hAnsi="Times New Roman"/>
        </w:rPr>
        <w:t>) and a significant decline in nitrate (-0.38% y</w:t>
      </w:r>
      <w:r w:rsidRPr="00C467CF">
        <w:rPr>
          <w:rFonts w:ascii="Times New Roman" w:hAnsi="Times New Roman"/>
          <w:vertAlign w:val="superscript"/>
        </w:rPr>
        <w:t>-1</w:t>
      </w:r>
      <w:r w:rsidRPr="00C467CF">
        <w:rPr>
          <w:rFonts w:ascii="Times New Roman" w:hAnsi="Times New Roman"/>
        </w:rPr>
        <w:t>). The global decline in diatoms was mostly attributed to their decline in the North Pacific (-1.00% y</w:t>
      </w:r>
      <w:r w:rsidRPr="00C467CF">
        <w:rPr>
          <w:rFonts w:ascii="Times New Roman" w:hAnsi="Times New Roman"/>
          <w:vertAlign w:val="superscript"/>
        </w:rPr>
        <w:t>-1</w:t>
      </w:r>
      <w:r w:rsidRPr="00C467CF">
        <w:rPr>
          <w:rFonts w:ascii="Times New Roman" w:hAnsi="Times New Roman"/>
        </w:rPr>
        <w:t>) where the MLD shallowed significantly and resulted in a decline</w:t>
      </w:r>
      <w:r w:rsidR="00C467CF">
        <w:rPr>
          <w:rFonts w:ascii="Times New Roman" w:hAnsi="Times New Roman"/>
        </w:rPr>
        <w:t xml:space="preserve"> in all three nutrients</w:t>
      </w:r>
      <w:r w:rsidRPr="00C467CF">
        <w:rPr>
          <w:rFonts w:ascii="Times New Roman" w:hAnsi="Times New Roman"/>
        </w:rPr>
        <w:t xml:space="preserve">. </w:t>
      </w:r>
      <w:r w:rsidR="00C467CF">
        <w:rPr>
          <w:rFonts w:ascii="Times New Roman" w:hAnsi="Times New Roman"/>
        </w:rPr>
        <w:t>Regionally, there was a</w:t>
      </w:r>
      <w:r w:rsidRPr="00C467CF">
        <w:rPr>
          <w:rFonts w:ascii="Times New Roman" w:hAnsi="Times New Roman"/>
        </w:rPr>
        <w:t xml:space="preserve"> decline in nutrients in the northernmost latitudes </w:t>
      </w:r>
      <w:r w:rsidR="00C467CF">
        <w:rPr>
          <w:rFonts w:ascii="Times New Roman" w:hAnsi="Times New Roman"/>
        </w:rPr>
        <w:t xml:space="preserve">that </w:t>
      </w:r>
      <w:r w:rsidRPr="00C467CF">
        <w:rPr>
          <w:rFonts w:ascii="Times New Roman" w:hAnsi="Times New Roman"/>
        </w:rPr>
        <w:t xml:space="preserve">coincided with a significant decline in diatoms (North Pacific, </w:t>
      </w:r>
      <w:proofErr w:type="gramStart"/>
      <w:r w:rsidRPr="00C467CF">
        <w:rPr>
          <w:rFonts w:ascii="Times New Roman" w:hAnsi="Times New Roman"/>
        </w:rPr>
        <w:t>-1.00% y</w:t>
      </w:r>
      <w:r w:rsidRPr="00C467CF">
        <w:rPr>
          <w:rFonts w:ascii="Times New Roman" w:hAnsi="Times New Roman"/>
          <w:vertAlign w:val="superscript"/>
        </w:rPr>
        <w:t>-1</w:t>
      </w:r>
      <w:proofErr w:type="gramEnd"/>
      <w:r w:rsidRPr="00C467CF">
        <w:rPr>
          <w:rFonts w:ascii="Times New Roman" w:hAnsi="Times New Roman"/>
        </w:rPr>
        <w:t>) and chlorophytes (North Atlantic, -9.70% y</w:t>
      </w:r>
      <w:r w:rsidRPr="00C467CF">
        <w:rPr>
          <w:rFonts w:ascii="Times New Roman" w:hAnsi="Times New Roman"/>
          <w:vertAlign w:val="superscript"/>
        </w:rPr>
        <w:t>-1</w:t>
      </w:r>
      <w:r w:rsidRPr="00C467CF">
        <w:rPr>
          <w:rFonts w:ascii="Times New Roman" w:hAnsi="Times New Roman"/>
        </w:rPr>
        <w:t xml:space="preserve">). In the northern mid-latitudes (North Central Pacific and Atlantic) where nutrients were </w:t>
      </w:r>
      <w:proofErr w:type="gramStart"/>
      <w:r w:rsidRPr="00C467CF">
        <w:rPr>
          <w:rFonts w:ascii="Times New Roman" w:hAnsi="Times New Roman"/>
        </w:rPr>
        <w:t>more scarce</w:t>
      </w:r>
      <w:proofErr w:type="gramEnd"/>
      <w:r w:rsidRPr="00C467CF">
        <w:rPr>
          <w:rFonts w:ascii="Times New Roman" w:hAnsi="Times New Roman"/>
        </w:rPr>
        <w:t xml:space="preserve">, a decline in nutrients </w:t>
      </w:r>
      <w:r w:rsidR="00C467CF">
        <w:rPr>
          <w:rFonts w:ascii="Times New Roman" w:hAnsi="Times New Roman"/>
        </w:rPr>
        <w:t>led to</w:t>
      </w:r>
      <w:r w:rsidRPr="00C467CF">
        <w:rPr>
          <w:rFonts w:ascii="Times New Roman" w:hAnsi="Times New Roman"/>
        </w:rPr>
        <w:t xml:space="preserve"> a </w:t>
      </w:r>
      <w:r w:rsidR="00C467CF">
        <w:rPr>
          <w:rFonts w:ascii="Times New Roman" w:hAnsi="Times New Roman"/>
        </w:rPr>
        <w:t xml:space="preserve">significant </w:t>
      </w:r>
      <w:r w:rsidRPr="00C467CF">
        <w:rPr>
          <w:rFonts w:ascii="Times New Roman" w:hAnsi="Times New Roman"/>
        </w:rPr>
        <w:t xml:space="preserve">decline in </w:t>
      </w:r>
      <w:r w:rsidR="00C467CF">
        <w:rPr>
          <w:rFonts w:ascii="Times New Roman" w:hAnsi="Times New Roman"/>
        </w:rPr>
        <w:t xml:space="preserve">the </w:t>
      </w:r>
      <w:r w:rsidRPr="00C467CF">
        <w:rPr>
          <w:rFonts w:ascii="Times New Roman" w:hAnsi="Times New Roman"/>
        </w:rPr>
        <w:t>smaller</w:t>
      </w:r>
      <w:r w:rsidR="00C467CF">
        <w:rPr>
          <w:rFonts w:ascii="Times New Roman" w:hAnsi="Times New Roman"/>
        </w:rPr>
        <w:t xml:space="preserve"> </w:t>
      </w:r>
      <w:r w:rsidRPr="00C467CF">
        <w:rPr>
          <w:rFonts w:ascii="Times New Roman" w:hAnsi="Times New Roman"/>
        </w:rPr>
        <w:t xml:space="preserve">cyanobacteria </w:t>
      </w:r>
      <w:r w:rsidR="00C467CF">
        <w:rPr>
          <w:rFonts w:ascii="Times New Roman" w:hAnsi="Times New Roman"/>
        </w:rPr>
        <w:t xml:space="preserve">(North Central Pacific, </w:t>
      </w:r>
      <w:r w:rsidRPr="00C467CF">
        <w:rPr>
          <w:rFonts w:ascii="Times New Roman" w:hAnsi="Times New Roman"/>
        </w:rPr>
        <w:t>-0.72% y</w:t>
      </w:r>
      <w:r w:rsidRPr="00C467CF">
        <w:rPr>
          <w:rFonts w:ascii="Times New Roman" w:hAnsi="Times New Roman"/>
          <w:vertAlign w:val="superscript"/>
        </w:rPr>
        <w:t>-1</w:t>
      </w:r>
      <w:r w:rsidR="00C467CF" w:rsidRPr="00C467CF">
        <w:rPr>
          <w:rFonts w:ascii="Times New Roman" w:hAnsi="Times New Roman"/>
        </w:rPr>
        <w:t>;</w:t>
      </w:r>
      <w:r w:rsidRPr="00C467CF">
        <w:rPr>
          <w:rFonts w:ascii="Times New Roman" w:hAnsi="Times New Roman"/>
        </w:rPr>
        <w:t xml:space="preserve"> Atlantic</w:t>
      </w:r>
      <w:r w:rsidR="00C467CF">
        <w:rPr>
          <w:rFonts w:ascii="Times New Roman" w:hAnsi="Times New Roman"/>
        </w:rPr>
        <w:t xml:space="preserve">, </w:t>
      </w:r>
      <w:r w:rsidRPr="00C467CF">
        <w:rPr>
          <w:rFonts w:ascii="Times New Roman" w:hAnsi="Times New Roman"/>
        </w:rPr>
        <w:t>-1.56% y</w:t>
      </w:r>
      <w:r w:rsidRPr="00C467CF">
        <w:rPr>
          <w:rFonts w:ascii="Times New Roman" w:hAnsi="Times New Roman"/>
          <w:vertAlign w:val="superscript"/>
        </w:rPr>
        <w:t>-1</w:t>
      </w:r>
      <w:r w:rsidRPr="00C467CF">
        <w:rPr>
          <w:rFonts w:ascii="Times New Roman" w:hAnsi="Times New Roman"/>
        </w:rPr>
        <w:t xml:space="preserve">) and coccolithophores </w:t>
      </w:r>
      <w:r w:rsidR="00C467CF">
        <w:rPr>
          <w:rFonts w:ascii="Times New Roman" w:hAnsi="Times New Roman"/>
        </w:rPr>
        <w:t>(</w:t>
      </w:r>
      <w:r w:rsidRPr="00C467CF">
        <w:rPr>
          <w:rFonts w:ascii="Times New Roman" w:hAnsi="Times New Roman"/>
        </w:rPr>
        <w:t>North Central Atlantic</w:t>
      </w:r>
      <w:r w:rsidR="00C467CF">
        <w:rPr>
          <w:rFonts w:ascii="Times New Roman" w:hAnsi="Times New Roman"/>
        </w:rPr>
        <w:t>,</w:t>
      </w:r>
      <w:r w:rsidRPr="00C467CF">
        <w:rPr>
          <w:rFonts w:ascii="Times New Roman" w:hAnsi="Times New Roman"/>
        </w:rPr>
        <w:t xml:space="preserve"> -2.06% y</w:t>
      </w:r>
      <w:r w:rsidRPr="00C467CF">
        <w:rPr>
          <w:rFonts w:ascii="Times New Roman" w:hAnsi="Times New Roman"/>
          <w:vertAlign w:val="superscript"/>
        </w:rPr>
        <w:t>-1</w:t>
      </w:r>
      <w:r w:rsidRPr="00C467CF">
        <w:rPr>
          <w:rFonts w:ascii="Times New Roman" w:hAnsi="Times New Roman"/>
        </w:rPr>
        <w:t>). These results provide a first insight into the existence of trends in phytoplankton composition over the maturing satellite ocean color era and illustrate how changes in the conditions of the oceans may have affected them.</w:t>
      </w:r>
    </w:p>
    <w:p w:rsidR="00C467CF" w:rsidRDefault="00C467CF" w:rsidP="000B4456">
      <w:pPr>
        <w:spacing w:after="0" w:line="240" w:lineRule="auto"/>
        <w:rPr>
          <w:rFonts w:ascii="Times New Roman" w:hAnsi="Times New Roman"/>
        </w:rPr>
      </w:pPr>
    </w:p>
    <w:p w:rsidR="00C467CF" w:rsidRPr="00C467CF" w:rsidRDefault="00C467CF" w:rsidP="00C467CF">
      <w:pPr>
        <w:pStyle w:val="Maddress"/>
        <w:spacing w:before="0" w:line="240" w:lineRule="auto"/>
        <w:ind w:left="284" w:hanging="284"/>
        <w:rPr>
          <w:color w:val="auto"/>
          <w:sz w:val="22"/>
          <w:szCs w:val="22"/>
        </w:rPr>
      </w:pPr>
      <w:r w:rsidRPr="00C467CF">
        <w:rPr>
          <w:color w:val="auto"/>
          <w:sz w:val="22"/>
          <w:szCs w:val="22"/>
          <w:vertAlign w:val="superscript"/>
        </w:rPr>
        <w:t>1</w:t>
      </w:r>
      <w:r w:rsidRPr="00C467CF">
        <w:rPr>
          <w:color w:val="auto"/>
          <w:sz w:val="22"/>
          <w:szCs w:val="22"/>
        </w:rPr>
        <w:tab/>
      </w:r>
      <w:r>
        <w:rPr>
          <w:color w:val="auto"/>
          <w:sz w:val="22"/>
          <w:szCs w:val="22"/>
        </w:rPr>
        <w:t>Cecile.S.Rousseaux@nasa.gov</w:t>
      </w:r>
      <w:r w:rsidRPr="00C467CF">
        <w:rPr>
          <w:color w:val="auto"/>
          <w:sz w:val="22"/>
          <w:szCs w:val="22"/>
        </w:rPr>
        <w:t xml:space="preserve"> </w:t>
      </w:r>
    </w:p>
    <w:p w:rsidR="00C467CF" w:rsidRPr="00C467CF" w:rsidRDefault="00C467CF" w:rsidP="00C467CF">
      <w:pPr>
        <w:pStyle w:val="Maddress"/>
        <w:spacing w:before="0" w:line="240" w:lineRule="auto"/>
        <w:ind w:left="284" w:hanging="284"/>
        <w:rPr>
          <w:sz w:val="22"/>
          <w:szCs w:val="22"/>
        </w:rPr>
      </w:pPr>
      <w:r w:rsidRPr="00C467CF">
        <w:rPr>
          <w:sz w:val="22"/>
          <w:szCs w:val="22"/>
          <w:vertAlign w:val="superscript"/>
        </w:rPr>
        <w:t>2</w:t>
      </w:r>
      <w:r w:rsidRPr="00C467CF">
        <w:rPr>
          <w:sz w:val="22"/>
          <w:szCs w:val="22"/>
          <w:vertAlign w:val="superscript"/>
        </w:rPr>
        <w:tab/>
      </w:r>
      <w:r>
        <w:rPr>
          <w:sz w:val="22"/>
          <w:szCs w:val="22"/>
        </w:rPr>
        <w:t>Watson.Gregg@nasa.gov</w:t>
      </w:r>
    </w:p>
    <w:p w:rsidR="00C467CF" w:rsidRPr="00C467CF" w:rsidRDefault="00C467CF" w:rsidP="000B4456">
      <w:pPr>
        <w:spacing w:after="0" w:line="240" w:lineRule="auto"/>
        <w:rPr>
          <w:rFonts w:ascii="Times New Roman" w:hAnsi="Times New Roman"/>
        </w:rPr>
      </w:pPr>
    </w:p>
    <w:sectPr w:rsidR="00C467CF" w:rsidRPr="00C467CF" w:rsidSect="008F7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4456"/>
    <w:rsid w:val="00005F9F"/>
    <w:rsid w:val="00015495"/>
    <w:rsid w:val="0002351B"/>
    <w:rsid w:val="0004080D"/>
    <w:rsid w:val="00065070"/>
    <w:rsid w:val="00075260"/>
    <w:rsid w:val="000B4456"/>
    <w:rsid w:val="000D6F27"/>
    <w:rsid w:val="000E7B96"/>
    <w:rsid w:val="0014701B"/>
    <w:rsid w:val="00147909"/>
    <w:rsid w:val="0015574F"/>
    <w:rsid w:val="00166DD0"/>
    <w:rsid w:val="00174EEB"/>
    <w:rsid w:val="00180514"/>
    <w:rsid w:val="001C04A8"/>
    <w:rsid w:val="00201FF2"/>
    <w:rsid w:val="002342DE"/>
    <w:rsid w:val="00296005"/>
    <w:rsid w:val="002A307D"/>
    <w:rsid w:val="002B2FFF"/>
    <w:rsid w:val="002C4B36"/>
    <w:rsid w:val="002D225A"/>
    <w:rsid w:val="0031087D"/>
    <w:rsid w:val="0031706F"/>
    <w:rsid w:val="00321023"/>
    <w:rsid w:val="003476DE"/>
    <w:rsid w:val="003A13FE"/>
    <w:rsid w:val="003A51EC"/>
    <w:rsid w:val="003C6ED5"/>
    <w:rsid w:val="003C7EAE"/>
    <w:rsid w:val="003F3B7A"/>
    <w:rsid w:val="004729B4"/>
    <w:rsid w:val="004742AE"/>
    <w:rsid w:val="00483C8A"/>
    <w:rsid w:val="00496295"/>
    <w:rsid w:val="00496ED9"/>
    <w:rsid w:val="004A55D9"/>
    <w:rsid w:val="004B0320"/>
    <w:rsid w:val="004B284E"/>
    <w:rsid w:val="004C7B3A"/>
    <w:rsid w:val="004E7823"/>
    <w:rsid w:val="00511CF7"/>
    <w:rsid w:val="005141F7"/>
    <w:rsid w:val="00517A35"/>
    <w:rsid w:val="00526A44"/>
    <w:rsid w:val="00545C61"/>
    <w:rsid w:val="005505F4"/>
    <w:rsid w:val="00563F9E"/>
    <w:rsid w:val="00565258"/>
    <w:rsid w:val="0058064F"/>
    <w:rsid w:val="00593F88"/>
    <w:rsid w:val="005B2ADC"/>
    <w:rsid w:val="005B4387"/>
    <w:rsid w:val="005D7DE8"/>
    <w:rsid w:val="00601116"/>
    <w:rsid w:val="00621713"/>
    <w:rsid w:val="00650AB7"/>
    <w:rsid w:val="00660962"/>
    <w:rsid w:val="00694258"/>
    <w:rsid w:val="006A0282"/>
    <w:rsid w:val="006B1571"/>
    <w:rsid w:val="006B2897"/>
    <w:rsid w:val="00703405"/>
    <w:rsid w:val="00736558"/>
    <w:rsid w:val="00740A17"/>
    <w:rsid w:val="00752DB1"/>
    <w:rsid w:val="00765169"/>
    <w:rsid w:val="00772DED"/>
    <w:rsid w:val="00775046"/>
    <w:rsid w:val="007833CA"/>
    <w:rsid w:val="007B2E91"/>
    <w:rsid w:val="007C2FFC"/>
    <w:rsid w:val="007E7723"/>
    <w:rsid w:val="00837C73"/>
    <w:rsid w:val="008541B8"/>
    <w:rsid w:val="008570B1"/>
    <w:rsid w:val="008574CF"/>
    <w:rsid w:val="00857DBF"/>
    <w:rsid w:val="008C30B3"/>
    <w:rsid w:val="008F7B55"/>
    <w:rsid w:val="0091048C"/>
    <w:rsid w:val="00937ADF"/>
    <w:rsid w:val="00953E95"/>
    <w:rsid w:val="00956CA8"/>
    <w:rsid w:val="009634A6"/>
    <w:rsid w:val="009647BF"/>
    <w:rsid w:val="00967456"/>
    <w:rsid w:val="009B77AD"/>
    <w:rsid w:val="009D1604"/>
    <w:rsid w:val="009E5945"/>
    <w:rsid w:val="009F0743"/>
    <w:rsid w:val="00A41CB1"/>
    <w:rsid w:val="00A4262A"/>
    <w:rsid w:val="00A42697"/>
    <w:rsid w:val="00A60001"/>
    <w:rsid w:val="00A81898"/>
    <w:rsid w:val="00A90CCE"/>
    <w:rsid w:val="00A91CFB"/>
    <w:rsid w:val="00AA153C"/>
    <w:rsid w:val="00AA35C6"/>
    <w:rsid w:val="00AB12A3"/>
    <w:rsid w:val="00AF68C7"/>
    <w:rsid w:val="00B120A9"/>
    <w:rsid w:val="00B14CE8"/>
    <w:rsid w:val="00B310CD"/>
    <w:rsid w:val="00B60577"/>
    <w:rsid w:val="00B624A2"/>
    <w:rsid w:val="00B708A8"/>
    <w:rsid w:val="00B72B90"/>
    <w:rsid w:val="00B80C1C"/>
    <w:rsid w:val="00BC1C34"/>
    <w:rsid w:val="00BC5BED"/>
    <w:rsid w:val="00BE05BF"/>
    <w:rsid w:val="00C01676"/>
    <w:rsid w:val="00C20DB9"/>
    <w:rsid w:val="00C467CF"/>
    <w:rsid w:val="00C47452"/>
    <w:rsid w:val="00C52E2A"/>
    <w:rsid w:val="00C53559"/>
    <w:rsid w:val="00C7133B"/>
    <w:rsid w:val="00CA3F4C"/>
    <w:rsid w:val="00CA6FF7"/>
    <w:rsid w:val="00CB1EA8"/>
    <w:rsid w:val="00CB716A"/>
    <w:rsid w:val="00CD06DD"/>
    <w:rsid w:val="00CF179C"/>
    <w:rsid w:val="00D04C10"/>
    <w:rsid w:val="00D05C63"/>
    <w:rsid w:val="00D63BC9"/>
    <w:rsid w:val="00D911B8"/>
    <w:rsid w:val="00D97964"/>
    <w:rsid w:val="00DA4E44"/>
    <w:rsid w:val="00DA6F4A"/>
    <w:rsid w:val="00DB5F8A"/>
    <w:rsid w:val="00DD2EB1"/>
    <w:rsid w:val="00DD3A37"/>
    <w:rsid w:val="00DD3BC8"/>
    <w:rsid w:val="00DF30CE"/>
    <w:rsid w:val="00DF7C07"/>
    <w:rsid w:val="00E06649"/>
    <w:rsid w:val="00E2750E"/>
    <w:rsid w:val="00E55BBF"/>
    <w:rsid w:val="00E678D3"/>
    <w:rsid w:val="00EA600C"/>
    <w:rsid w:val="00EB171C"/>
    <w:rsid w:val="00EB7C41"/>
    <w:rsid w:val="00F04D05"/>
    <w:rsid w:val="00F64DE8"/>
    <w:rsid w:val="00F701DB"/>
    <w:rsid w:val="00F751A8"/>
    <w:rsid w:val="00FA58DB"/>
    <w:rsid w:val="00FC4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56"/>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autoRedefine/>
    <w:qFormat/>
    <w:rsid w:val="00A4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Courier New"/>
      <w:szCs w:val="20"/>
      <w:lang w:bidi="ar-SA"/>
    </w:rPr>
  </w:style>
  <w:style w:type="character" w:customStyle="1" w:styleId="HTMLPreformattedChar">
    <w:name w:val="HTML Preformatted Char"/>
    <w:basedOn w:val="DefaultParagraphFont"/>
    <w:link w:val="HTMLPreformatted"/>
    <w:rsid w:val="00A4262A"/>
    <w:rPr>
      <w:rFonts w:ascii="Times New Roman" w:eastAsia="Times New Roman" w:hAnsi="Times New Roman" w:cs="Courier New"/>
      <w:szCs w:val="20"/>
    </w:rPr>
  </w:style>
  <w:style w:type="paragraph" w:styleId="Caption">
    <w:name w:val="caption"/>
    <w:basedOn w:val="Normal"/>
    <w:next w:val="Normal"/>
    <w:autoRedefine/>
    <w:qFormat/>
    <w:rsid w:val="00A4262A"/>
    <w:pPr>
      <w:spacing w:line="240" w:lineRule="auto"/>
      <w:jc w:val="center"/>
    </w:pPr>
    <w:rPr>
      <w:rFonts w:ascii="Times New Roman" w:eastAsia="Calibri" w:hAnsi="Times New Roman"/>
      <w:bCs/>
      <w:sz w:val="20"/>
      <w:szCs w:val="18"/>
      <w:lang w:bidi="ar-SA"/>
    </w:rPr>
  </w:style>
  <w:style w:type="paragraph" w:customStyle="1" w:styleId="Maddress">
    <w:name w:val="M_address"/>
    <w:basedOn w:val="Normal"/>
    <w:rsid w:val="000B4456"/>
    <w:pPr>
      <w:spacing w:before="240" w:after="0" w:line="340" w:lineRule="atLeast"/>
    </w:pPr>
    <w:rPr>
      <w:rFonts w:ascii="Times New Roman" w:hAnsi="Times New Roman"/>
      <w:color w:val="000000"/>
      <w:sz w:val="24"/>
      <w:szCs w:val="20"/>
      <w:lang w:eastAsia="de-DE"/>
    </w:rPr>
  </w:style>
  <w:style w:type="paragraph" w:customStyle="1" w:styleId="Mauthor">
    <w:name w:val="M_author"/>
    <w:basedOn w:val="Normal"/>
    <w:autoRedefine/>
    <w:rsid w:val="00C467CF"/>
    <w:pPr>
      <w:spacing w:after="0" w:line="240" w:lineRule="auto"/>
    </w:pPr>
    <w:rPr>
      <w:rFonts w:ascii="Times New Roman" w:hAnsi="Times New Roman"/>
      <w:color w:val="000000"/>
      <w:lang w:val="it-IT"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Rousseaux</dc:creator>
  <cp:lastModifiedBy>Cecile Rousseaux</cp:lastModifiedBy>
  <cp:revision>2</cp:revision>
  <dcterms:created xsi:type="dcterms:W3CDTF">2015-04-06T15:38:00Z</dcterms:created>
  <dcterms:modified xsi:type="dcterms:W3CDTF">2015-04-06T15:38:00Z</dcterms:modified>
</cp:coreProperties>
</file>